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
      </w:pPr>
      <w:r>
        <w:rPr>
          <w:rFonts w:ascii="Atkinson Hyperlegible Next" w:cs="Atkinson Hyperlegible Next" w:eastAsia="Atkinson Hyperlegible Next" w:hAnsi="Atkinson Hyperlegible Next"/>
          <w:b/>
          <w:bCs/>
          <w:color w:val="2A2922"/>
          <w:sz w:val="48"/>
          <w:szCs w:val="48"/>
        </w:rPr>
        <w:t xml:space="preserve">Marcelo Paiva</w:t>
      </w:r>
    </w:p>
    <w:p>
      <w:pPr>
        <w:spacing w:after="12"/>
      </w:pPr>
      <w:r>
        <w:rPr>
          <w:rFonts w:ascii="Public Sans" w:cs="Public Sans" w:eastAsia="Public Sans" w:hAnsi="Public Sans"/>
          <w:color w:val="333333"/>
          <w:sz w:val="24"/>
          <w:szCs w:val="24"/>
        </w:rPr>
        <w:t xml:space="preserve">Design engineer</w:t>
      </w:r>
    </w:p>
    <w:p>
      <w:pPr>
        <w:pBdr>
          <w:bottom w:val="single" w:color="000000" w:sz="8" w:space="6"/>
        </w:pBdr>
        <w:spacing w:after="20"/>
      </w:pPr>
      <w:hyperlink w:history="1" r:id="rIdbc0npwwohsbix6tn3budp">
        <w:r>
          <w:rPr>
            <w:rStyle w:val="Hyperlink"/>
            <w:rFonts w:ascii="Public Sans" w:cs="Public Sans" w:eastAsia="Public Sans" w:hAnsi="Public Sans"/>
            <w:sz w:val="19"/>
            <w:szCs w:val="19"/>
          </w:rPr>
          <w:t xml:space="preserve">mpaiva@gmail.com</w:t>
        </w:r>
      </w:hyperlink>
      <w:r>
        <w:rPr>
          <w:rFonts w:ascii="Public Sans" w:cs="Public Sans" w:eastAsia="Public Sans" w:hAnsi="Public Sans"/>
          <w:color w:val="333333"/>
          <w:sz w:val="19"/>
          <w:szCs w:val="19"/>
        </w:rPr>
        <w:t xml:space="preserve">   ·   </w:t>
      </w:r>
      <w:hyperlink w:history="1" r:id="rIdnhu7edrjwozfyghksdato">
        <w:r>
          <w:rPr>
            <w:rStyle w:val="Hyperlink"/>
            <w:rFonts w:ascii="Public Sans" w:cs="Public Sans" w:eastAsia="Public Sans" w:hAnsi="Public Sans"/>
            <w:sz w:val="19"/>
            <w:szCs w:val="19"/>
          </w:rPr>
          <w:t xml:space="preserve">GitHub</w:t>
        </w:r>
      </w:hyperlink>
      <w:r>
        <w:rPr>
          <w:rFonts w:ascii="Public Sans" w:cs="Public Sans" w:eastAsia="Public Sans" w:hAnsi="Public Sans"/>
          <w:color w:val="333333"/>
          <w:sz w:val="19"/>
          <w:szCs w:val="19"/>
        </w:rPr>
        <w:t xml:space="preserve">   ·   </w:t>
      </w:r>
      <w:hyperlink w:history="1" r:id="rIdyzv-djvo7j_gkpxh3po2r">
        <w:r>
          <w:rPr>
            <w:rStyle w:val="Hyperlink"/>
            <w:rFonts w:ascii="Public Sans" w:cs="Public Sans" w:eastAsia="Public Sans" w:hAnsi="Public Sans"/>
            <w:sz w:val="19"/>
            <w:szCs w:val="19"/>
          </w:rPr>
          <w:t xml:space="preserve">LinkedIn</w:t>
        </w:r>
      </w:hyperlink>
      <w:r>
        <w:rPr>
          <w:rFonts w:ascii="Public Sans" w:cs="Public Sans" w:eastAsia="Public Sans" w:hAnsi="Public Sans"/>
          <w:color w:val="333333"/>
          <w:sz w:val="19"/>
          <w:szCs w:val="19"/>
        </w:rPr>
        <w:t xml:space="preserve">   ·   </w:t>
      </w:r>
      <w:r>
        <w:rPr>
          <w:rFonts w:ascii="Public Sans" w:cs="Public Sans" w:eastAsia="Public Sans" w:hAnsi="Public Sans"/>
          <w:color w:val="333333"/>
          <w:sz w:val="19"/>
          <w:szCs w:val="19"/>
        </w:rPr>
        <w:t xml:space="preserve">mpaiva.com</w:t>
      </w:r>
    </w:p>
    <w:p>
      <w:pPr>
        <w:spacing w:after="8"/>
      </w:pPr>
      <w:r>
        <w:rPr>
          <w:rFonts w:ascii="Public Sans" w:cs="Public Sans" w:eastAsia="Public Sans" w:hAnsi="Public Sans"/>
          <w:color w:val="000000"/>
          <w:sz w:val="21"/>
          <w:szCs w:val="21"/>
        </w:rPr>
        <w:t xml:space="preserve">I design experiences and ship accessible code that runs them. Two decades of that has been spent on enterprise software, several years of it on HR and talent — the systems that decide who gets hired, onboarded and promoted — where the hard part is keeping something powerful approachable. I build design systems other engineers want to use, and that accessibility is something the system enforces rather than something a checklist catches at the end.</w:t>
      </w:r>
    </w:p>
    <w:p>
      <w:pPr>
        <w:pStyle w:val="Heading2"/>
        <w:pBdr>
          <w:bottom w:val="single" w:color="999999" w:sz="6" w:space="2"/>
        </w:pBdr>
        <w:spacing w:after="8" w:before="32"/>
      </w:pPr>
      <w:r>
        <w:rPr>
          <w:rFonts w:ascii="Atkinson Hyperlegible Next" w:cs="Atkinson Hyperlegible Next" w:eastAsia="Atkinson Hyperlegible Next" w:hAnsi="Atkinson Hyperlegible Next"/>
          <w:b/>
          <w:bCs/>
          <w:color w:val="2A2922"/>
          <w:spacing w:val="24"/>
          <w:sz w:val="17"/>
          <w:szCs w:val="17"/>
        </w:rPr>
        <w:t xml:space="preserve">WHAT I DO</w:t>
      </w:r>
    </w:p>
    <w:p>
      <w:pPr>
        <w:pStyle w:val="ListParagraph"/>
        <w:numPr>
          <w:ilvl w:val="0"/>
          <w:numId w:val="2"/>
        </w:numPr>
        <w:spacing w:after="6"/>
      </w:pPr>
      <w:r>
        <w:rPr>
          <w:rFonts w:ascii="Public Sans" w:cs="Public Sans" w:eastAsia="Public Sans" w:hAnsi="Public Sans"/>
          <w:color w:val="000000"/>
          <w:sz w:val="20"/>
          <w:szCs w:val="20"/>
        </w:rPr>
        <w:t xml:space="preserve">Design systems in code — tokens, component contracts, and the contribution path</w:t>
      </w:r>
    </w:p>
    <w:p>
      <w:pPr>
        <w:pStyle w:val="ListParagraph"/>
        <w:numPr>
          <w:ilvl w:val="0"/>
          <w:numId w:val="2"/>
        </w:numPr>
        <w:spacing w:after="6"/>
      </w:pPr>
      <w:r>
        <w:rPr>
          <w:rFonts w:ascii="Public Sans" w:cs="Public Sans" w:eastAsia="Public Sans" w:hAnsi="Public Sans"/>
          <w:color w:val="000000"/>
          <w:sz w:val="20"/>
          <w:szCs w:val="20"/>
        </w:rPr>
        <w:t xml:space="preserve">TypeScript, React, CSS. Design tokens as the interface between design and code</w:t>
      </w:r>
    </w:p>
    <w:p>
      <w:pPr>
        <w:pStyle w:val="ListParagraph"/>
        <w:numPr>
          <w:ilvl w:val="0"/>
          <w:numId w:val="2"/>
        </w:numPr>
        <w:spacing w:after="6"/>
      </w:pPr>
      <w:r>
        <w:rPr>
          <w:rFonts w:ascii="Public Sans" w:cs="Public Sans" w:eastAsia="Public Sans" w:hAnsi="Public Sans"/>
          <w:color w:val="000000"/>
          <w:sz w:val="20"/>
          <w:szCs w:val="20"/>
        </w:rPr>
        <w:t xml:space="preserve">WCAG 2.2, ARIA and assistive technology, as constraints designed around rather than audited for</w:t>
      </w:r>
    </w:p>
    <w:p>
      <w:pPr>
        <w:pStyle w:val="ListParagraph"/>
        <w:numPr>
          <w:ilvl w:val="0"/>
          <w:numId w:val="2"/>
        </w:numPr>
        <w:spacing w:after="6"/>
      </w:pPr>
      <w:r>
        <w:rPr>
          <w:rFonts w:ascii="Public Sans" w:cs="Public Sans" w:eastAsia="Public Sans" w:hAnsi="Public Sans"/>
          <w:color w:val="000000"/>
          <w:sz w:val="20"/>
          <w:szCs w:val="20"/>
        </w:rPr>
        <w:t xml:space="preserve">HR, talent acquisition and HCM product surfaces at enterprise scale</w:t>
      </w:r>
    </w:p>
    <w:p>
      <w:pPr>
        <w:pStyle w:val="ListParagraph"/>
        <w:numPr>
          <w:ilvl w:val="0"/>
          <w:numId w:val="2"/>
        </w:numPr>
        <w:spacing w:after="6"/>
      </w:pPr>
      <w:r>
        <w:rPr>
          <w:rFonts w:ascii="Public Sans" w:cs="Public Sans" w:eastAsia="Public Sans" w:hAnsi="Public Sans"/>
          <w:color w:val="000000"/>
          <w:sz w:val="20"/>
          <w:szCs w:val="20"/>
        </w:rPr>
        <w:t xml:space="preserve">Agent-assisted development, and what a design system has to become to survive it</w:t>
      </w:r>
    </w:p>
    <w:p>
      <w:pPr>
        <w:pStyle w:val="Heading2"/>
        <w:pBdr>
          <w:bottom w:val="single" w:color="999999" w:sz="6" w:space="2"/>
        </w:pBdr>
        <w:spacing w:after="8" w:before="32"/>
      </w:pPr>
      <w:r>
        <w:rPr>
          <w:rFonts w:ascii="Atkinson Hyperlegible Next" w:cs="Atkinson Hyperlegible Next" w:eastAsia="Atkinson Hyperlegible Next" w:hAnsi="Atkinson Hyperlegible Next"/>
          <w:b/>
          <w:bCs/>
          <w:color w:val="2A2922"/>
          <w:spacing w:val="24"/>
          <w:sz w:val="17"/>
          <w:szCs w:val="17"/>
        </w:rPr>
        <w:t xml:space="preserve">EXPERIENCE</w:t>
      </w:r>
    </w:p>
    <w:p>
      <w:pPr>
        <w:pStyle w:val="Heading3"/>
        <w:tabs>
          <w:tab w:val="right" w:pos="10205"/>
        </w:tabs>
        <w:spacing w:after="2" w:before="24"/>
      </w:pPr>
      <w:r>
        <w:rPr>
          <w:rFonts w:ascii="Atkinson Hyperlegible Next" w:cs="Atkinson Hyperlegible Next" w:eastAsia="Atkinson Hyperlegible Next" w:hAnsi="Atkinson Hyperlegible Next"/>
          <w:b/>
          <w:bCs/>
          <w:color w:val="000000"/>
          <w:sz w:val="23"/>
          <w:szCs w:val="23"/>
        </w:rPr>
        <w:t xml:space="preserve">Head of UX and Accessibility</w:t>
      </w:r>
      <w:r>
        <w:rPr>
          <w:rFonts w:ascii="Public Sans" w:cs="Public Sans" w:eastAsia="Public Sans" w:hAnsi="Public Sans"/>
          <w:color w:val="333333"/>
          <w:sz w:val="23"/>
          <w:szCs w:val="23"/>
        </w:rPr>
        <w:t xml:space="preserve"> · ClearCo</w:t>
      </w:r>
      <w:r>
        <w:rPr>
          <w:rFonts w:ascii="Public Sans" w:cs="Public Sans" w:eastAsia="Public Sans" w:hAnsi="Public Sans"/>
        </w:rPr>
        <w:t xml:space="preserve">	</w:t>
      </w:r>
      <w:r>
        <w:rPr>
          <w:rFonts w:ascii="Public Sans" w:cs="Public Sans" w:eastAsia="Public Sans" w:hAnsi="Public Sans"/>
          <w:color w:val="333333"/>
          <w:sz w:val="19"/>
          <w:szCs w:val="19"/>
        </w:rPr>
        <w:t xml:space="preserve">Sep 2024 – Present</w:t>
      </w:r>
    </w:p>
    <w:p>
      <w:pPr>
        <w:spacing w:after="8"/>
      </w:pPr>
      <w:r>
        <w:rPr>
          <w:rFonts w:ascii="Public Sans" w:cs="Public Sans" w:eastAsia="Public Sans" w:hAnsi="Public Sans"/>
          <w:i/>
          <w:iCs/>
          <w:color w:val="333333"/>
          <w:sz w:val="19"/>
          <w:szCs w:val="19"/>
        </w:rPr>
        <w:t xml:space="preserve">Talent management platform — applicant tracking, onboarding, performance.</w:t>
      </w:r>
    </w:p>
    <w:p>
      <w:pPr>
        <w:pStyle w:val="ListParagraph"/>
        <w:numPr>
          <w:ilvl w:val="0"/>
          <w:numId w:val="2"/>
        </w:numPr>
        <w:spacing w:after="6"/>
      </w:pPr>
      <w:r>
        <w:rPr>
          <w:rFonts w:ascii="Public Sans" w:cs="Public Sans" w:eastAsia="Public Sans" w:hAnsi="Public Sans"/>
          <w:color w:val="000000"/>
          <w:sz w:val="20"/>
          <w:szCs w:val="20"/>
        </w:rPr>
        <w:t xml:space="preserve">Built the design system template repository that designers and product managers now build in: a running application on the real component library and tokens, with mock data, that installs on any machine without the legacy Windows stack.</w:t>
      </w:r>
    </w:p>
    <w:p>
      <w:pPr>
        <w:pStyle w:val="ListParagraph"/>
        <w:numPr>
          <w:ilvl w:val="0"/>
          <w:numId w:val="2"/>
        </w:numPr>
        <w:spacing w:after="6"/>
      </w:pPr>
      <w:r>
        <w:rPr>
          <w:rFonts w:ascii="Public Sans" w:cs="Public Sans" w:eastAsia="Public Sans" w:hAnsi="Public Sans"/>
          <w:color w:val="000000"/>
          <w:sz w:val="20"/>
          <w:szCs w:val="20"/>
        </w:rPr>
        <w:t xml:space="preserve">Moved design handoff from static files to working code. Designers and product managers ship pull requests through the same review gate as engineers, and drift found downstream flows back upstream as a PR against the template.</w:t>
      </w:r>
    </w:p>
    <w:p>
      <w:pPr>
        <w:pStyle w:val="ListParagraph"/>
        <w:numPr>
          <w:ilvl w:val="0"/>
          <w:numId w:val="2"/>
        </w:numPr>
        <w:spacing w:after="6"/>
      </w:pPr>
      <w:r>
        <w:rPr>
          <w:rFonts w:ascii="Public Sans" w:cs="Public Sans" w:eastAsia="Public Sans" w:hAnsi="Public Sans"/>
          <w:color w:val="000000"/>
          <w:sz w:val="20"/>
          <w:szCs w:val="20"/>
        </w:rPr>
        <w:t xml:space="preserve">Wrote the design rules, accessibility standard and writing guidelines as markdown in the repository, so both people and coding agents read them before anything is generated. The platform conformance target is now answerable from the repo rather than from me.</w:t>
      </w:r>
    </w:p>
    <w:p>
      <w:pPr>
        <w:pStyle w:val="ListParagraph"/>
        <w:numPr>
          <w:ilvl w:val="0"/>
          <w:numId w:val="2"/>
        </w:numPr>
        <w:spacing w:after="6"/>
      </w:pPr>
      <w:r>
        <w:rPr>
          <w:rFonts w:ascii="Public Sans" w:cs="Public Sans" w:eastAsia="Public Sans" w:hAnsi="Public Sans"/>
          <w:color w:val="000000"/>
          <w:sz w:val="20"/>
          <w:szCs w:val="20"/>
        </w:rPr>
        <w:t xml:space="preserve">Set WCAG 2.2 AA as the target for the new platform and moved accessibility from an end-of-line audit into the components, where keyboard behavior, focus, structure and contrast ship with the starting material.</w:t>
      </w:r>
    </w:p>
    <w:p>
      <w:pPr>
        <w:pStyle w:val="ListParagraph"/>
        <w:numPr>
          <w:ilvl w:val="0"/>
          <w:numId w:val="2"/>
        </w:numPr>
        <w:spacing w:after="6"/>
      </w:pPr>
      <w:r>
        <w:rPr>
          <w:rFonts w:ascii="Public Sans" w:cs="Public Sans" w:eastAsia="Public Sans" w:hAnsi="Public Sans"/>
          <w:color w:val="000000"/>
          <w:sz w:val="20"/>
          <w:szCs w:val="20"/>
        </w:rPr>
        <w:t xml:space="preserve">Made deskless and mobile the default case: multi-tenant test data modeled on frontline customers — logistics, nursing, food service, higher education — so phone behavior is decided alongside desktop rather than after it.</w:t>
      </w:r>
    </w:p>
    <w:p>
      <w:pPr>
        <w:spacing w:after="2" w:before="8"/>
      </w:pPr>
      <w:r>
        <w:rPr>
          <w:rFonts w:ascii="Atkinson Hyperlegible Next" w:cs="Atkinson Hyperlegible Next" w:eastAsia="Atkinson Hyperlegible Next" w:hAnsi="Atkinson Hyperlegible Next"/>
          <w:b/>
          <w:bCs/>
          <w:color w:val="333333"/>
          <w:spacing w:val="20"/>
          <w:sz w:val="15"/>
          <w:szCs w:val="15"/>
        </w:rPr>
        <w:t xml:space="preserve">CASE STUDIES</w:t>
      </w:r>
    </w:p>
    <w:p>
      <w:pPr>
        <w:spacing w:after="2"/>
      </w:pPr>
      <w:hyperlink w:history="1" r:id="rIdkaipovqean_yan51z_u0g">
        <w:r>
          <w:rPr>
            <w:rStyle w:val="Hyperlink"/>
            <w:rFonts w:ascii="Public Sans" w:cs="Public Sans" w:eastAsia="Public Sans" w:hAnsi="Public Sans"/>
            <w:sz w:val="19"/>
            <w:szCs w:val="19"/>
          </w:rPr>
          <w:t xml:space="preserve">ClearCo: fourteen HCM products, one experience</w:t>
        </w:r>
      </w:hyperlink>
    </w:p>
    <w:p>
      <w:pPr>
        <w:spacing w:after="2"/>
      </w:pPr>
      <w:hyperlink w:history="1" r:id="rId7q5ofs-psfgeyoxbstnad">
        <w:r>
          <w:rPr>
            <w:rStyle w:val="Hyperlink"/>
            <w:rFonts w:ascii="Public Sans" w:cs="Public Sans" w:eastAsia="Public Sans" w:hAnsi="Public Sans"/>
            <w:sz w:val="19"/>
            <w:szCs w:val="19"/>
          </w:rPr>
          <w:t xml:space="preserve">CCDS: a design system that ships itself</w:t>
        </w:r>
      </w:hyperlink>
    </w:p>
    <w:p>
      <w:pPr>
        <w:spacing w:after="2"/>
      </w:pPr>
      <w:hyperlink w:history="1" r:id="rIdfy8upjxcs7pxgwzdkezqa">
        <w:r>
          <w:rPr>
            <w:rStyle w:val="Hyperlink"/>
            <w:rFonts w:ascii="Public Sans" w:cs="Public Sans" w:eastAsia="Public Sans" w:hAnsi="Public Sans"/>
            <w:sz w:val="19"/>
            <w:szCs w:val="19"/>
          </w:rPr>
          <w:t xml:space="preserve">Our vendors' accessibility is our accessibility</w:t>
        </w:r>
      </w:hyperlink>
    </w:p>
    <w:p>
      <w:pPr>
        <w:pStyle w:val="Heading3"/>
        <w:tabs>
          <w:tab w:val="right" w:pos="10205"/>
        </w:tabs>
        <w:spacing w:after="2" w:before="24"/>
      </w:pPr>
      <w:r>
        <w:rPr>
          <w:rFonts w:ascii="Atkinson Hyperlegible Next" w:cs="Atkinson Hyperlegible Next" w:eastAsia="Atkinson Hyperlegible Next" w:hAnsi="Atkinson Hyperlegible Next"/>
          <w:b/>
          <w:bCs/>
          <w:color w:val="000000"/>
          <w:sz w:val="23"/>
          <w:szCs w:val="23"/>
        </w:rPr>
        <w:t xml:space="preserve">Accessibility and User Experience Lead</w:t>
      </w:r>
      <w:r>
        <w:rPr>
          <w:rFonts w:ascii="Public Sans" w:cs="Public Sans" w:eastAsia="Public Sans" w:hAnsi="Public Sans"/>
          <w:color w:val="333333"/>
          <w:sz w:val="23"/>
          <w:szCs w:val="23"/>
        </w:rPr>
        <w:t xml:space="preserve"> · AEM Corporation</w:t>
      </w:r>
      <w:r>
        <w:rPr>
          <w:rFonts w:ascii="Public Sans" w:cs="Public Sans" w:eastAsia="Public Sans" w:hAnsi="Public Sans"/>
        </w:rPr>
        <w:t xml:space="preserve">	</w:t>
      </w:r>
      <w:r>
        <w:rPr>
          <w:rFonts w:ascii="Public Sans" w:cs="Public Sans" w:eastAsia="Public Sans" w:hAnsi="Public Sans"/>
          <w:color w:val="333333"/>
          <w:sz w:val="19"/>
          <w:szCs w:val="19"/>
        </w:rPr>
        <w:t xml:space="preserve">Apr 2023 – Sep 2024</w:t>
      </w:r>
    </w:p>
    <w:p>
      <w:pPr>
        <w:spacing w:after="8"/>
      </w:pPr>
      <w:r>
        <w:rPr>
          <w:rFonts w:ascii="Public Sans" w:cs="Public Sans" w:eastAsia="Public Sans" w:hAnsi="Public Sans"/>
          <w:i/>
          <w:iCs/>
          <w:color w:val="333333"/>
          <w:sz w:val="19"/>
          <w:szCs w:val="19"/>
        </w:rPr>
        <w:t xml:space="preserve">The Rhonda Weiss Center for Accessible IDEA Data, which AEM leads under a multiyear U.S. Department of Education (OSEP) grant to improve state capacity to publish IDEA data accessibly.</w:t>
      </w:r>
    </w:p>
    <w:p>
      <w:pPr>
        <w:pStyle w:val="ListParagraph"/>
        <w:numPr>
          <w:ilvl w:val="0"/>
          <w:numId w:val="2"/>
        </w:numPr>
        <w:spacing w:after="6"/>
      </w:pPr>
      <w:r>
        <w:rPr>
          <w:rFonts w:ascii="Public Sans" w:cs="Public Sans" w:eastAsia="Public Sans" w:hAnsi="Public Sans"/>
          <w:color w:val="000000"/>
          <w:sz w:val="20"/>
          <w:szCs w:val="20"/>
        </w:rPr>
        <w:t xml:space="preserve">Led design and development of an accessible reporting system for IDEA Part B and Part C data — what states report on how children with disabilities are served — working with 80 stakeholders including disabled people.</w:t>
      </w:r>
    </w:p>
    <w:p>
      <w:pPr>
        <w:pStyle w:val="ListParagraph"/>
        <w:numPr>
          <w:ilvl w:val="0"/>
          <w:numId w:val="2"/>
        </w:numPr>
        <w:spacing w:after="6"/>
      </w:pPr>
      <w:r>
        <w:rPr>
          <w:rFonts w:ascii="Public Sans" w:cs="Public Sans" w:eastAsia="Public Sans" w:hAnsi="Public Sans"/>
          <w:color w:val="000000"/>
          <w:sz w:val="20"/>
          <w:szCs w:val="20"/>
        </w:rPr>
        <w:t xml:space="preserve">Extended the U.S. Web Design System with design tokens carrying accessibility decisions, so downstream teams inherited contrast, focus and categorical data palettes rather than re-deciding them.</w:t>
      </w:r>
    </w:p>
    <w:p>
      <w:pPr>
        <w:pStyle w:val="ListParagraph"/>
        <w:numPr>
          <w:ilvl w:val="0"/>
          <w:numId w:val="2"/>
        </w:numPr>
        <w:spacing w:after="6"/>
      </w:pPr>
      <w:r>
        <w:rPr>
          <w:rFonts w:ascii="Public Sans" w:cs="Public Sans" w:eastAsia="Public Sans" w:hAnsi="Public Sans"/>
          <w:color w:val="000000"/>
          <w:sz w:val="20"/>
          <w:szCs w:val="20"/>
        </w:rPr>
        <w:t xml:space="preserve">Ran 30+ usability studies with disabled participants, including blind and neurodivergent users, reaching the highest applicable conformance level on the delivered tool.</w:t>
      </w:r>
    </w:p>
    <w:p>
      <w:pPr>
        <w:pStyle w:val="ListParagraph"/>
        <w:numPr>
          <w:ilvl w:val="0"/>
          <w:numId w:val="2"/>
        </w:numPr>
        <w:spacing w:after="6"/>
      </w:pPr>
      <w:r>
        <w:rPr>
          <w:rFonts w:ascii="Public Sans" w:cs="Public Sans" w:eastAsia="Public Sans" w:hAnsi="Public Sans"/>
          <w:color w:val="000000"/>
          <w:sz w:val="20"/>
          <w:szCs w:val="20"/>
        </w:rPr>
        <w:t xml:space="preserve">Made equitable data representation the core design problem, and presented the approach at CSUN and Closing the Gap.</w:t>
      </w:r>
    </w:p>
    <w:p>
      <w:pPr>
        <w:spacing w:after="2" w:before="8"/>
      </w:pPr>
      <w:r>
        <w:rPr>
          <w:rFonts w:ascii="Atkinson Hyperlegible Next" w:cs="Atkinson Hyperlegible Next" w:eastAsia="Atkinson Hyperlegible Next" w:hAnsi="Atkinson Hyperlegible Next"/>
          <w:b/>
          <w:bCs/>
          <w:color w:val="333333"/>
          <w:spacing w:val="20"/>
          <w:sz w:val="15"/>
          <w:szCs w:val="15"/>
        </w:rPr>
        <w:t xml:space="preserve">CASE STUDIES</w:t>
      </w:r>
    </w:p>
    <w:p>
      <w:pPr>
        <w:spacing w:after="2"/>
      </w:pPr>
      <w:hyperlink w:history="1" r:id="rIdqoyppem7slnc6kvly5m0l">
        <w:r>
          <w:rPr>
            <w:rStyle w:val="Hyperlink"/>
            <w:rFonts w:ascii="Public Sans" w:cs="Public Sans" w:eastAsia="Public Sans" w:hAnsi="Public Sans"/>
            <w:sz w:val="19"/>
            <w:szCs w:val="19"/>
          </w:rPr>
          <w:t xml:space="preserve">Data about disabled students, in a tool they could not use</w:t>
        </w:r>
      </w:hyperlink>
    </w:p>
    <w:p>
      <w:pPr>
        <w:pStyle w:val="Heading3"/>
        <w:tabs>
          <w:tab w:val="right" w:pos="10205"/>
        </w:tabs>
        <w:spacing w:after="2" w:before="24"/>
      </w:pPr>
      <w:r>
        <w:rPr>
          <w:rFonts w:ascii="Atkinson Hyperlegible Next" w:cs="Atkinson Hyperlegible Next" w:eastAsia="Atkinson Hyperlegible Next" w:hAnsi="Atkinson Hyperlegible Next"/>
          <w:b/>
          <w:bCs/>
          <w:color w:val="000000"/>
          <w:sz w:val="23"/>
          <w:szCs w:val="23"/>
        </w:rPr>
        <w:t xml:space="preserve">UX Manager — Portfolio and Great Place To Work</w:t>
      </w:r>
      <w:r>
        <w:rPr>
          <w:rFonts w:ascii="Public Sans" w:cs="Public Sans" w:eastAsia="Public Sans" w:hAnsi="Public Sans"/>
          <w:color w:val="333333"/>
          <w:sz w:val="23"/>
          <w:szCs w:val="23"/>
        </w:rPr>
        <w:t xml:space="preserve"> · UKG (Ultimate Software / Kronos)</w:t>
      </w:r>
      <w:r>
        <w:rPr>
          <w:rFonts w:ascii="Public Sans" w:cs="Public Sans" w:eastAsia="Public Sans" w:hAnsi="Public Sans"/>
        </w:rPr>
        <w:t xml:space="preserve">	</w:t>
      </w:r>
      <w:r>
        <w:rPr>
          <w:rFonts w:ascii="Public Sans" w:cs="Public Sans" w:eastAsia="Public Sans" w:hAnsi="Public Sans"/>
          <w:color w:val="333333"/>
          <w:sz w:val="19"/>
          <w:szCs w:val="19"/>
        </w:rPr>
        <w:t xml:space="preserve">Apr 2018 – Mar 2023</w:t>
      </w:r>
    </w:p>
    <w:p>
      <w:pPr>
        <w:spacing w:after="8"/>
      </w:pPr>
      <w:r>
        <w:rPr>
          <w:rFonts w:ascii="Public Sans" w:cs="Public Sans" w:eastAsia="Public Sans" w:hAnsi="Public Sans"/>
          <w:i/>
          <w:iCs/>
          <w:color w:val="333333"/>
          <w:sz w:val="19"/>
          <w:szCs w:val="19"/>
        </w:rPr>
        <w:t xml:space="preserve">Joined Ultimate Software on the recruiting team; Ultimate and Kronos merged to form UKG, an HCM suite used by 5,000 organizations and 15 million employees.</w:t>
      </w:r>
    </w:p>
    <w:p>
      <w:pPr>
        <w:pStyle w:val="ListParagraph"/>
        <w:numPr>
          <w:ilvl w:val="0"/>
          <w:numId w:val="2"/>
        </w:numPr>
        <w:spacing w:after="6"/>
      </w:pPr>
      <w:r>
        <w:rPr>
          <w:rFonts w:ascii="Public Sans" w:cs="Public Sans" w:eastAsia="Public Sans" w:hAnsi="Public Sans"/>
          <w:color w:val="000000"/>
          <w:sz w:val="20"/>
          <w:szCs w:val="20"/>
        </w:rPr>
        <w:t xml:space="preserve">Owned experience design across the portfolio — HR, payroll, recruiting, onboarding, performance and workplace culture analytics — and Great Place To Work alongside it.</w:t>
      </w:r>
    </w:p>
    <w:p>
      <w:pPr>
        <w:pStyle w:val="ListParagraph"/>
        <w:numPr>
          <w:ilvl w:val="0"/>
          <w:numId w:val="2"/>
        </w:numPr>
        <w:spacing w:after="6"/>
      </w:pPr>
      <w:r>
        <w:rPr>
          <w:rFonts w:ascii="Public Sans" w:cs="Public Sans" w:eastAsia="Public Sans" w:hAnsi="Public Sans"/>
          <w:color w:val="000000"/>
          <w:sz w:val="20"/>
          <w:szCs w:val="20"/>
        </w:rPr>
        <w:t xml:space="preserve">Led a team of 10 designers and researchers, and drove accessibility conformance across every product in it.</w:t>
      </w:r>
    </w:p>
    <w:p>
      <w:pPr>
        <w:pStyle w:val="ListParagraph"/>
        <w:numPr>
          <w:ilvl w:val="0"/>
          <w:numId w:val="2"/>
        </w:numPr>
        <w:spacing w:after="6"/>
      </w:pPr>
      <w:r>
        <w:rPr>
          <w:rFonts w:ascii="Public Sans" w:cs="Public Sans" w:eastAsia="Public Sans" w:hAnsi="Public Sans"/>
          <w:color w:val="000000"/>
          <w:sz w:val="20"/>
          <w:szCs w:val="20"/>
        </w:rPr>
        <w:t xml:space="preserve">Designed the employee belonging and DEI analytics hub, mapping demographic data against sentiment, including hiring funnel analysis by gender and ethnicity.</w:t>
      </w:r>
    </w:p>
    <w:p>
      <w:pPr>
        <w:pStyle w:val="ListParagraph"/>
        <w:numPr>
          <w:ilvl w:val="0"/>
          <w:numId w:val="2"/>
        </w:numPr>
        <w:spacing w:after="6"/>
      </w:pPr>
      <w:r>
        <w:rPr>
          <w:rFonts w:ascii="Public Sans" w:cs="Public Sans" w:eastAsia="Public Sans" w:hAnsi="Public Sans"/>
          <w:color w:val="000000"/>
          <w:sz w:val="20"/>
          <w:szCs w:val="20"/>
        </w:rPr>
        <w:t xml:space="preserve">Carried the HCM experience through a cross-platform rebrand without losing accessibility ground.</w:t>
      </w:r>
    </w:p>
    <w:p>
      <w:pPr>
        <w:spacing w:after="2" w:before="8"/>
      </w:pPr>
      <w:r>
        <w:rPr>
          <w:rFonts w:ascii="Atkinson Hyperlegible Next" w:cs="Atkinson Hyperlegible Next" w:eastAsia="Atkinson Hyperlegible Next" w:hAnsi="Atkinson Hyperlegible Next"/>
          <w:b/>
          <w:bCs/>
          <w:color w:val="333333"/>
          <w:spacing w:val="20"/>
          <w:sz w:val="15"/>
          <w:szCs w:val="15"/>
        </w:rPr>
        <w:t xml:space="preserve">CASE STUDIES</w:t>
      </w:r>
    </w:p>
    <w:p>
      <w:pPr>
        <w:spacing w:after="2"/>
      </w:pPr>
      <w:hyperlink w:history="1" r:id="rIdisp3mwjimxqzgojo2voqm">
        <w:r>
          <w:rPr>
            <w:rStyle w:val="Hyperlink"/>
            <w:rFonts w:ascii="Public Sans" w:cs="Public Sans" w:eastAsia="Public Sans" w:hAnsi="Public Sans"/>
            <w:sz w:val="19"/>
            <w:szCs w:val="19"/>
          </w:rPr>
          <w:t xml:space="preserve">UKG: ten designers and researchers, one portfolio</w:t>
        </w:r>
      </w:hyperlink>
    </w:p>
    <w:p>
      <w:pPr>
        <w:spacing w:after="2"/>
      </w:pPr>
      <w:hyperlink w:history="1" r:id="rIdglywrztnpebu6mq6qsfy1">
        <w:r>
          <w:rPr>
            <w:rStyle w:val="Hyperlink"/>
            <w:rFonts w:ascii="Public Sans" w:cs="Public Sans" w:eastAsia="Public Sans" w:hAnsi="Public Sans"/>
            <w:sz w:val="19"/>
            <w:szCs w:val="19"/>
          </w:rPr>
          <w:t xml:space="preserve">Great Place To Work Hub: turnover and belonging, read together</w:t>
        </w:r>
      </w:hyperlink>
    </w:p>
    <w:p>
      <w:pPr>
        <w:pStyle w:val="Heading3"/>
        <w:tabs>
          <w:tab w:val="right" w:pos="10205"/>
        </w:tabs>
        <w:spacing w:after="2" w:before="24"/>
      </w:pPr>
      <w:r>
        <w:rPr>
          <w:rFonts w:ascii="Atkinson Hyperlegible Next" w:cs="Atkinson Hyperlegible Next" w:eastAsia="Atkinson Hyperlegible Next" w:hAnsi="Atkinson Hyperlegible Next"/>
          <w:b/>
          <w:bCs/>
          <w:color w:val="000000"/>
          <w:sz w:val="23"/>
          <w:szCs w:val="23"/>
        </w:rPr>
        <w:t xml:space="preserve">Creative Director</w:t>
      </w:r>
      <w:r>
        <w:rPr>
          <w:rFonts w:ascii="Public Sans" w:cs="Public Sans" w:eastAsia="Public Sans" w:hAnsi="Public Sans"/>
          <w:color w:val="333333"/>
          <w:sz w:val="23"/>
          <w:szCs w:val="23"/>
        </w:rPr>
        <w:t xml:space="preserve"> · ProcessMAP</w:t>
      </w:r>
      <w:r>
        <w:rPr>
          <w:rFonts w:ascii="Public Sans" w:cs="Public Sans" w:eastAsia="Public Sans" w:hAnsi="Public Sans"/>
        </w:rPr>
        <w:t xml:space="preserve">	</w:t>
      </w:r>
      <w:r>
        <w:rPr>
          <w:rFonts w:ascii="Public Sans" w:cs="Public Sans" w:eastAsia="Public Sans" w:hAnsi="Public Sans"/>
          <w:color w:val="333333"/>
          <w:sz w:val="19"/>
          <w:szCs w:val="19"/>
        </w:rPr>
        <w:t xml:space="preserve">2015 – 2016</w:t>
      </w:r>
    </w:p>
    <w:p>
      <w:pPr>
        <w:pStyle w:val="ListParagraph"/>
        <w:numPr>
          <w:ilvl w:val="0"/>
          <w:numId w:val="2"/>
        </w:numPr>
        <w:spacing w:after="6"/>
      </w:pPr>
      <w:r>
        <w:rPr>
          <w:rFonts w:ascii="Public Sans" w:cs="Public Sans" w:eastAsia="Public Sans" w:hAnsi="Public Sans"/>
          <w:color w:val="000000"/>
          <w:sz w:val="20"/>
          <w:szCs w:val="20"/>
        </w:rPr>
        <w:t xml:space="preserve">Built and led a team of 8 designers and developers, shipping a modern front end and a design system component library.</w:t>
      </w:r>
    </w:p>
    <w:p>
      <w:pPr>
        <w:pStyle w:val="Heading3"/>
        <w:tabs>
          <w:tab w:val="right" w:pos="10205"/>
        </w:tabs>
        <w:spacing w:after="2" w:before="24"/>
      </w:pPr>
      <w:r>
        <w:rPr>
          <w:rFonts w:ascii="Atkinson Hyperlegible Next" w:cs="Atkinson Hyperlegible Next" w:eastAsia="Atkinson Hyperlegible Next" w:hAnsi="Atkinson Hyperlegible Next"/>
          <w:b/>
          <w:bCs/>
          <w:color w:val="000000"/>
          <w:sz w:val="23"/>
          <w:szCs w:val="23"/>
        </w:rPr>
        <w:t xml:space="preserve">Creative Director</w:t>
      </w:r>
      <w:r>
        <w:rPr>
          <w:rFonts w:ascii="Public Sans" w:cs="Public Sans" w:eastAsia="Public Sans" w:hAnsi="Public Sans"/>
          <w:color w:val="333333"/>
          <w:sz w:val="23"/>
          <w:szCs w:val="23"/>
        </w:rPr>
        <w:t xml:space="preserve"> · Sapient Global Markets</w:t>
      </w:r>
      <w:r>
        <w:rPr>
          <w:rFonts w:ascii="Public Sans" w:cs="Public Sans" w:eastAsia="Public Sans" w:hAnsi="Public Sans"/>
        </w:rPr>
        <w:t xml:space="preserve">	</w:t>
      </w:r>
      <w:r>
        <w:rPr>
          <w:rFonts w:ascii="Public Sans" w:cs="Public Sans" w:eastAsia="Public Sans" w:hAnsi="Public Sans"/>
          <w:color w:val="333333"/>
          <w:sz w:val="19"/>
          <w:szCs w:val="19"/>
        </w:rPr>
        <w:t xml:space="preserve">2014 – 2015</w:t>
      </w:r>
    </w:p>
    <w:p>
      <w:pPr>
        <w:pStyle w:val="ListParagraph"/>
        <w:numPr>
          <w:ilvl w:val="0"/>
          <w:numId w:val="2"/>
        </w:numPr>
        <w:spacing w:after="6"/>
      </w:pPr>
      <w:r>
        <w:rPr>
          <w:rFonts w:ascii="Public Sans" w:cs="Public Sans" w:eastAsia="Public Sans" w:hAnsi="Public Sans"/>
          <w:color w:val="000000"/>
          <w:sz w:val="20"/>
          <w:szCs w:val="20"/>
        </w:rPr>
        <w:t xml:space="preserve">Introduced Lean UX practice, halving design iteration time and embedding designers inside agile delivery teams.</w:t>
      </w:r>
    </w:p>
    <w:p>
      <w:pPr>
        <w:pStyle w:val="Heading3"/>
        <w:tabs>
          <w:tab w:val="right" w:pos="10205"/>
        </w:tabs>
        <w:spacing w:after="2" w:before="24"/>
      </w:pPr>
      <w:r>
        <w:rPr>
          <w:rFonts w:ascii="Atkinson Hyperlegible Next" w:cs="Atkinson Hyperlegible Next" w:eastAsia="Atkinson Hyperlegible Next" w:hAnsi="Atkinson Hyperlegible Next"/>
          <w:b/>
          <w:bCs/>
          <w:color w:val="000000"/>
          <w:sz w:val="23"/>
          <w:szCs w:val="23"/>
        </w:rPr>
        <w:t xml:space="preserve">User Experience Director</w:t>
      </w:r>
      <w:r>
        <w:rPr>
          <w:rFonts w:ascii="Public Sans" w:cs="Public Sans" w:eastAsia="Public Sans" w:hAnsi="Public Sans"/>
          <w:color w:val="333333"/>
          <w:sz w:val="23"/>
          <w:szCs w:val="23"/>
        </w:rPr>
        <w:t xml:space="preserve"> · Thomson Reuters</w:t>
      </w:r>
      <w:r>
        <w:rPr>
          <w:rFonts w:ascii="Public Sans" w:cs="Public Sans" w:eastAsia="Public Sans" w:hAnsi="Public Sans"/>
        </w:rPr>
        <w:t xml:space="preserve">	</w:t>
      </w:r>
      <w:r>
        <w:rPr>
          <w:rFonts w:ascii="Public Sans" w:cs="Public Sans" w:eastAsia="Public Sans" w:hAnsi="Public Sans"/>
          <w:color w:val="333333"/>
          <w:sz w:val="19"/>
          <w:szCs w:val="19"/>
        </w:rPr>
        <w:t xml:space="preserve">2007 – 2013</w:t>
      </w:r>
    </w:p>
    <w:p>
      <w:pPr>
        <w:pStyle w:val="ListParagraph"/>
        <w:numPr>
          <w:ilvl w:val="0"/>
          <w:numId w:val="2"/>
        </w:numPr>
        <w:spacing w:after="6"/>
      </w:pPr>
      <w:r>
        <w:rPr>
          <w:rFonts w:ascii="Public Sans" w:cs="Public Sans" w:eastAsia="Public Sans" w:hAnsi="Public Sans"/>
          <w:color w:val="000000"/>
          <w:sz w:val="20"/>
          <w:szCs w:val="20"/>
        </w:rPr>
        <w:t xml:space="preserve">Led interaction design for Thomson Reuters Eikon across wearables, smartphones and tablets.</w:t>
      </w:r>
    </w:p>
    <w:p>
      <w:pPr>
        <w:pStyle w:val="Heading2"/>
        <w:pBdr>
          <w:bottom w:val="single" w:color="999999" w:sz="6" w:space="2"/>
        </w:pBdr>
        <w:spacing w:after="8" w:before="32"/>
      </w:pPr>
      <w:r>
        <w:rPr>
          <w:rFonts w:ascii="Atkinson Hyperlegible Next" w:cs="Atkinson Hyperlegible Next" w:eastAsia="Atkinson Hyperlegible Next" w:hAnsi="Atkinson Hyperlegible Next"/>
          <w:b/>
          <w:bCs/>
          <w:color w:val="2A2922"/>
          <w:spacing w:val="24"/>
          <w:sz w:val="17"/>
          <w:szCs w:val="17"/>
        </w:rPr>
        <w:t xml:space="preserve">THINGS I HAVE BUILT</w:t>
      </w:r>
    </w:p>
    <w:p>
      <w:pPr>
        <w:pStyle w:val="ListParagraph"/>
        <w:numPr>
          <w:ilvl w:val="0"/>
          <w:numId w:val="2"/>
        </w:numPr>
        <w:spacing w:after="6"/>
      </w:pPr>
      <w:hyperlink w:history="1" r:id="rIdqbqqipcy6_viq2eskb91q">
        <w:r>
          <w:rPr>
            <w:rStyle w:val="Hyperlink"/>
            <w:rFonts w:ascii="Public Sans" w:cs="Public Sans" w:eastAsia="Public Sans" w:hAnsi="Public Sans"/>
            <w:sz w:val="20"/>
            <w:szCs w:val="20"/>
          </w:rPr>
          <w:t xml:space="preserve">WCAG Plugin for Figma</w:t>
        </w:r>
      </w:hyperlink>
      <w:r>
        <w:rPr>
          <w:rFonts w:ascii="Public Sans" w:cs="Public Sans" w:eastAsia="Public Sans" w:hAnsi="Public Sans"/>
          <w:color w:val="000000"/>
          <w:sz w:val="20"/>
          <w:szCs w:val="20"/>
        </w:rPr>
        <w:t xml:space="preserve"> — Free and open source. Guideline search, annotation cards, and accessibility utility tokens imported as Figma variables, so the accessible choice is the default one.</w:t>
      </w:r>
    </w:p>
    <w:p>
      <w:pPr>
        <w:pStyle w:val="ListParagraph"/>
        <w:numPr>
          <w:ilvl w:val="0"/>
          <w:numId w:val="2"/>
        </w:numPr>
        <w:spacing w:after="6"/>
      </w:pPr>
      <w:hyperlink w:history="1" r:id="rIdj_fr4ywtgpcrj-48vq-tu">
        <w:r>
          <w:rPr>
            <w:rStyle w:val="Hyperlink"/>
            <w:rFonts w:ascii="Public Sans" w:cs="Public Sans" w:eastAsia="Public Sans" w:hAnsi="Public Sans"/>
            <w:sz w:val="20"/>
            <w:szCs w:val="20"/>
          </w:rPr>
          <w:t xml:space="preserve">No Latin</w:t>
        </w:r>
      </w:hyperlink>
      <w:r>
        <w:rPr>
          <w:rFonts w:ascii="Public Sans" w:cs="Public Sans" w:eastAsia="Public Sans" w:hAnsi="Public Sans"/>
          <w:color w:val="000000"/>
          <w:sz w:val="20"/>
          <w:szCs w:val="20"/>
        </w:rPr>
        <w:t xml:space="preserve"> — Turns content blocks into an accessible HTML prototype, so screen reader users can be included in research on day one instead of being excluded by placeholder text.</w:t>
      </w:r>
    </w:p>
    <w:p>
      <w:pPr>
        <w:pStyle w:val="ListParagraph"/>
        <w:numPr>
          <w:ilvl w:val="0"/>
          <w:numId w:val="2"/>
        </w:numPr>
        <w:spacing w:after="6"/>
      </w:pPr>
      <w:hyperlink w:history="1" r:id="rIdj7t_vv4ifvesibmkslr3u">
        <w:r>
          <w:rPr>
            <w:rStyle w:val="Hyperlink"/>
            <w:rFonts w:ascii="Public Sans" w:cs="Public Sans" w:eastAsia="Public Sans" w:hAnsi="Public Sans"/>
            <w:sz w:val="20"/>
            <w:szCs w:val="20"/>
          </w:rPr>
          <w:t xml:space="preserve">a11y-tips-statusline</w:t>
        </w:r>
      </w:hyperlink>
      <w:r>
        <w:rPr>
          <w:rFonts w:ascii="Public Sans" w:cs="Public Sans" w:eastAsia="Public Sans" w:hAnsi="Public Sans"/>
          <w:color w:val="000000"/>
          <w:sz w:val="20"/>
          <w:szCs w:val="20"/>
        </w:rPr>
        <w:t xml:space="preserve"> — All 87 WCAG 2.2 success criteria in the Claude Code statusline, rotating while you work, with a /wcag search command. One-line install.</w:t>
      </w:r>
    </w:p>
    <w:p>
      <w:pPr>
        <w:pStyle w:val="ListParagraph"/>
        <w:numPr>
          <w:ilvl w:val="0"/>
          <w:numId w:val="2"/>
        </w:numPr>
        <w:spacing w:after="6"/>
      </w:pPr>
      <w:hyperlink w:history="1" r:id="rId8igvqrsu7m5ppmjfg7uou">
        <w:r>
          <w:rPr>
            <w:rStyle w:val="Hyperlink"/>
            <w:rFonts w:ascii="Public Sans" w:cs="Public Sans" w:eastAsia="Public Sans" w:hAnsi="Public Sans"/>
            <w:sz w:val="20"/>
            <w:szCs w:val="20"/>
          </w:rPr>
          <w:t xml:space="preserve">wcag-mcp-server</w:t>
        </w:r>
      </w:hyperlink>
      <w:r>
        <w:rPr>
          <w:rFonts w:ascii="Public Sans" w:cs="Public Sans" w:eastAsia="Public Sans" w:hAnsi="Public Sans"/>
          <w:color w:val="000000"/>
          <w:sz w:val="20"/>
          <w:szCs w:val="20"/>
        </w:rPr>
        <w:t xml:space="preserve"> — WCAG 2.2 as an MCP server, so a coding agent can look a criterion up mid-generation instead of guessing at it. Works with Claude Code, Cursor and VS Code Copilot.</w:t>
      </w:r>
    </w:p>
    <w:p>
      <w:pPr>
        <w:pStyle w:val="ListParagraph"/>
        <w:numPr>
          <w:ilvl w:val="0"/>
          <w:numId w:val="2"/>
        </w:numPr>
        <w:spacing w:after="6"/>
      </w:pPr>
      <w:hyperlink w:history="1" r:id="rIdxa_gfl5k84eikimqgnsma">
        <w:r>
          <w:rPr>
            <w:rStyle w:val="Hyperlink"/>
            <w:rFonts w:ascii="Public Sans" w:cs="Public Sans" w:eastAsia="Public Sans" w:hAnsi="Public Sans"/>
            <w:sz w:val="20"/>
            <w:szCs w:val="20"/>
          </w:rPr>
          <w:t xml:space="preserve">Atomic (contributor)</w:t>
        </w:r>
      </w:hyperlink>
      <w:r>
        <w:rPr>
          <w:rFonts w:ascii="Public Sans" w:cs="Public Sans" w:eastAsia="Public Sans" w:hAnsi="Public Sans"/>
          <w:color w:val="000000"/>
          <w:sz w:val="20"/>
          <w:szCs w:val="20"/>
        </w:rPr>
        <w:t xml:space="preserve"> — Accessibility contributions to the open-source coding agent runtime by Bastani.ai: a WCAG contrast gate over the interactive theme, measured against rendered output rather than declared colors.</w:t>
      </w:r>
    </w:p>
    <w:p>
      <w:pPr>
        <w:pStyle w:val="ListParagraph"/>
        <w:numPr>
          <w:ilvl w:val="0"/>
          <w:numId w:val="2"/>
        </w:numPr>
        <w:spacing w:after="6"/>
      </w:pPr>
      <w:hyperlink w:history="1" r:id="rIdshign8wrchwgucr6nm79y">
        <w:r>
          <w:rPr>
            <w:rStyle w:val="Hyperlink"/>
            <w:rFonts w:ascii="Public Sans" w:cs="Public Sans" w:eastAsia="Public Sans" w:hAnsi="Public Sans"/>
            <w:sz w:val="20"/>
            <w:szCs w:val="20"/>
          </w:rPr>
          <w:t xml:space="preserve">docuseal-a11y</w:t>
        </w:r>
      </w:hyperlink>
      <w:r>
        <w:rPr>
          <w:rFonts w:ascii="Public Sans" w:cs="Public Sans" w:eastAsia="Public Sans" w:hAnsi="Public Sans"/>
          <w:color w:val="000000"/>
          <w:sz w:val="20"/>
          <w:szCs w:val="20"/>
        </w:rPr>
        <w:t xml:space="preserve"> — Accessibility remediation of DocuSeal, the open-source DocuSign alternative used for onboarding signatures: landmarks, alt text across Rails and Vue, accessible names on icon buttons, and keyboard support for the custom elements that do the signing.</w:t>
      </w:r>
    </w:p>
    <w:p>
      <w:pPr>
        <w:pStyle w:val="ListParagraph"/>
        <w:numPr>
          <w:ilvl w:val="0"/>
          <w:numId w:val="2"/>
        </w:numPr>
        <w:spacing w:after="6"/>
      </w:pPr>
      <w:hyperlink w:history="1" r:id="rIdeh2kproyaqix_pb_8cajs">
        <w:r>
          <w:rPr>
            <w:rStyle w:val="Hyperlink"/>
            <w:rFonts w:ascii="Public Sans" w:cs="Public Sans" w:eastAsia="Public Sans" w:hAnsi="Public Sans"/>
            <w:sz w:val="20"/>
            <w:szCs w:val="20"/>
          </w:rPr>
          <w:t xml:space="preserve">atomic-cockpit</w:t>
        </w:r>
      </w:hyperlink>
      <w:r>
        <w:rPr>
          <w:rFonts w:ascii="Public Sans" w:cs="Public Sans" w:eastAsia="Public Sans" w:hAnsi="Public Sans"/>
          <w:color w:val="000000"/>
          <w:sz w:val="20"/>
          <w:szCs w:val="20"/>
        </w:rPr>
        <w:t xml:space="preserve"> — A control surface for running a team of agents across projects — planning, a human approval gate, and verification by an agent that did not write the code.</w:t>
      </w:r>
    </w:p>
    <w:p>
      <w:pPr>
        <w:pStyle w:val="ListParagraph"/>
        <w:numPr>
          <w:ilvl w:val="0"/>
          <w:numId w:val="2"/>
        </w:numPr>
        <w:spacing w:after="6"/>
      </w:pPr>
      <w:hyperlink w:history="1" r:id="rIdiwpuhyzkwauv68lodrhcz">
        <w:r>
          <w:rPr>
            <w:rStyle w:val="Hyperlink"/>
            <w:rFonts w:ascii="Public Sans" w:cs="Public Sans" w:eastAsia="Public Sans" w:hAnsi="Public Sans"/>
            <w:sz w:val="20"/>
            <w:szCs w:val="20"/>
          </w:rPr>
          <w:t xml:space="preserve">This site</w:t>
        </w:r>
      </w:hyperlink>
      <w:r>
        <w:rPr>
          <w:rFonts w:ascii="Public Sans" w:cs="Public Sans" w:eastAsia="Public Sans" w:hAnsi="Public Sans"/>
          <w:color w:val="000000"/>
          <w:sz w:val="20"/>
          <w:szCs w:val="20"/>
        </w:rPr>
        <w:t xml:space="preserve"> — Next.js and TypeScript with a hand-rolled token layer. CI fails the build if any color pair drops below WCAG AA in either theme, or if any image ships without alt text.</w:t>
      </w:r>
    </w:p>
    <w:p>
      <w:pPr>
        <w:pStyle w:val="Heading2"/>
        <w:pBdr>
          <w:bottom w:val="single" w:color="999999" w:sz="6" w:space="2"/>
        </w:pBdr>
        <w:spacing w:after="8" w:before="32"/>
      </w:pPr>
      <w:r>
        <w:rPr>
          <w:rFonts w:ascii="Atkinson Hyperlegible Next" w:cs="Atkinson Hyperlegible Next" w:eastAsia="Atkinson Hyperlegible Next" w:hAnsi="Atkinson Hyperlegible Next"/>
          <w:b/>
          <w:bCs/>
          <w:color w:val="2A2922"/>
          <w:spacing w:val="24"/>
          <w:sz w:val="17"/>
          <w:szCs w:val="17"/>
        </w:rPr>
        <w:t xml:space="preserve">STANDARDS AND TEACHING</w:t>
      </w:r>
    </w:p>
    <w:p>
      <w:pPr>
        <w:pStyle w:val="ListParagraph"/>
        <w:numPr>
          <w:ilvl w:val="0"/>
          <w:numId w:val="2"/>
        </w:numPr>
        <w:spacing w:after="6"/>
      </w:pPr>
      <w:r>
        <w:rPr>
          <w:rFonts w:ascii="Public Sans" w:cs="Public Sans" w:eastAsia="Public Sans" w:hAnsi="Public Sans"/>
          <w:color w:val="000000"/>
          <w:sz w:val="20"/>
          <w:szCs w:val="20"/>
        </w:rPr>
        <w:t xml:space="preserve">Invited Expert, W3C Accessible Platform Architectures (APA) Working Group, since December 2025 — the group reviews emerging web standards for their effect on disabled people.</w:t>
      </w:r>
    </w:p>
    <w:p>
      <w:pPr>
        <w:pStyle w:val="ListParagraph"/>
        <w:numPr>
          <w:ilvl w:val="0"/>
          <w:numId w:val="2"/>
        </w:numPr>
        <w:spacing w:after="6"/>
      </w:pPr>
      <w:r>
        <w:rPr>
          <w:rFonts w:ascii="Public Sans" w:cs="Public Sans" w:eastAsia="Public Sans" w:hAnsi="Public Sans"/>
          <w:color w:val="000000"/>
          <w:sz w:val="20"/>
          <w:szCs w:val="20"/>
        </w:rPr>
        <w:t xml:space="preserve">Contributing to W3C specification discussions since 2019, with authored proposals to ARIA Practices (aria-owns with late-mounted descendants), WCAG 3 (a content API), and the AI Accessibility work (including disabled people as AI content creators, not only as end users).</w:t>
      </w:r>
    </w:p>
    <w:p>
      <w:pPr>
        <w:pStyle w:val="ListParagraph"/>
        <w:numPr>
          <w:ilvl w:val="0"/>
          <w:numId w:val="2"/>
        </w:numPr>
        <w:spacing w:after="6"/>
      </w:pPr>
      <w:r>
        <w:rPr>
          <w:rFonts w:ascii="Public Sans" w:cs="Public Sans" w:eastAsia="Public Sans" w:hAnsi="Public Sans"/>
          <w:color w:val="000000"/>
          <w:sz w:val="20"/>
          <w:szCs w:val="20"/>
        </w:rPr>
        <w:t xml:space="preserve">Authored a 10-week UX curriculum for a design bootcamp and taught it to over 200 entry-level designers.</w:t>
      </w:r>
    </w:p>
    <w:p>
      <w:pPr>
        <w:pStyle w:val="ListParagraph"/>
        <w:numPr>
          <w:ilvl w:val="0"/>
          <w:numId w:val="2"/>
        </w:numPr>
        <w:spacing w:after="6"/>
      </w:pPr>
      <w:r>
        <w:rPr>
          <w:rFonts w:ascii="Public Sans" w:cs="Public Sans" w:eastAsia="Public Sans" w:hAnsi="Public Sans"/>
          <w:color w:val="000000"/>
          <w:sz w:val="20"/>
          <w:szCs w:val="20"/>
        </w:rPr>
        <w:t xml:space="preserve">Coach design and product teams on design systems, accessibility and working in code.</w:t>
      </w:r>
    </w:p>
    <w:p>
      <w:pPr>
        <w:pStyle w:val="Heading2"/>
        <w:pBdr>
          <w:bottom w:val="single" w:color="999999" w:sz="6" w:space="2"/>
        </w:pBdr>
        <w:spacing w:after="8" w:before="32"/>
      </w:pPr>
      <w:r>
        <w:rPr>
          <w:rFonts w:ascii="Atkinson Hyperlegible Next" w:cs="Atkinson Hyperlegible Next" w:eastAsia="Atkinson Hyperlegible Next" w:hAnsi="Atkinson Hyperlegible Next"/>
          <w:b/>
          <w:bCs/>
          <w:color w:val="2A2922"/>
          <w:spacing w:val="24"/>
          <w:sz w:val="17"/>
          <w:szCs w:val="17"/>
        </w:rPr>
        <w:t xml:space="preserve">SELECTED SPEAKING</w:t>
      </w:r>
    </w:p>
    <w:p>
      <w:pPr>
        <w:pStyle w:val="ListParagraph"/>
        <w:numPr>
          <w:ilvl w:val="0"/>
          <w:numId w:val="2"/>
        </w:numPr>
        <w:spacing w:after="6"/>
      </w:pPr>
      <w:r>
        <w:rPr>
          <w:rFonts w:ascii="Public Sans" w:cs="Public Sans" w:eastAsia="Public Sans" w:hAnsi="Public Sans"/>
          <w:b/>
          <w:bCs/>
          <w:color w:val="000000"/>
          <w:sz w:val="20"/>
          <w:szCs w:val="20"/>
        </w:rPr>
        <w:t xml:space="preserve">Into Design Systems</w:t>
      </w:r>
      <w:r>
        <w:rPr>
          <w:rFonts w:ascii="Public Sans" w:cs="Public Sans" w:eastAsia="Public Sans" w:hAnsi="Public Sans"/>
          <w:color w:val="000000"/>
          <w:sz w:val="20"/>
          <w:szCs w:val="20"/>
        </w:rPr>
        <w:t xml:space="preserve"> (2024) — Creating accessible design systems; WCAG tokens as design decisions</w:t>
      </w:r>
    </w:p>
    <w:p>
      <w:pPr>
        <w:pStyle w:val="ListParagraph"/>
        <w:numPr>
          <w:ilvl w:val="0"/>
          <w:numId w:val="2"/>
        </w:numPr>
        <w:spacing w:after="6"/>
      </w:pPr>
      <w:r>
        <w:rPr>
          <w:rFonts w:ascii="Public Sans" w:cs="Public Sans" w:eastAsia="Public Sans" w:hAnsi="Public Sans"/>
          <w:b/>
          <w:bCs/>
          <w:color w:val="000000"/>
          <w:sz w:val="20"/>
          <w:szCs w:val="20"/>
        </w:rPr>
        <w:t xml:space="preserve">CSUN Assistive Technology Conference</w:t>
      </w:r>
      <w:r>
        <w:rPr>
          <w:rFonts w:ascii="Public Sans" w:cs="Public Sans" w:eastAsia="Public Sans" w:hAnsi="Public Sans"/>
          <w:color w:val="000000"/>
          <w:sz w:val="20"/>
          <w:szCs w:val="20"/>
        </w:rPr>
        <w:t xml:space="preserve"> (2022–2024) — Rapid prototyping with accessibility in mind; design tokens for equitable data representation</w:t>
      </w:r>
    </w:p>
    <w:p>
      <w:pPr>
        <w:pStyle w:val="ListParagraph"/>
        <w:numPr>
          <w:ilvl w:val="0"/>
          <w:numId w:val="2"/>
        </w:numPr>
        <w:spacing w:after="6"/>
      </w:pPr>
      <w:r>
        <w:rPr>
          <w:rFonts w:ascii="Public Sans" w:cs="Public Sans" w:eastAsia="Public Sans" w:hAnsi="Public Sans"/>
          <w:b/>
          <w:bCs/>
          <w:color w:val="000000"/>
          <w:sz w:val="20"/>
          <w:szCs w:val="20"/>
        </w:rPr>
        <w:t xml:space="preserve">W3C TPAC</w:t>
      </w:r>
      <w:r>
        <w:rPr>
          <w:rFonts w:ascii="Public Sans" w:cs="Public Sans" w:eastAsia="Public Sans" w:hAnsi="Public Sans"/>
          <w:color w:val="000000"/>
          <w:sz w:val="20"/>
          <w:szCs w:val="20"/>
        </w:rPr>
        <w:t xml:space="preserve"> (2023) — Design tokens for accessibility settings</w:t>
      </w:r>
    </w:p>
    <w:p>
      <w:pPr>
        <w:pStyle w:val="ListParagraph"/>
        <w:numPr>
          <w:ilvl w:val="0"/>
          <w:numId w:val="2"/>
        </w:numPr>
        <w:spacing w:after="6"/>
      </w:pPr>
      <w:r>
        <w:rPr>
          <w:rFonts w:ascii="Public Sans" w:cs="Public Sans" w:eastAsia="Public Sans" w:hAnsi="Public Sans"/>
          <w:b/>
          <w:bCs/>
          <w:color w:val="000000"/>
          <w:sz w:val="20"/>
          <w:szCs w:val="20"/>
        </w:rPr>
        <w:t xml:space="preserve">ICT Accessibility Testing Symposium</w:t>
      </w:r>
      <w:r>
        <w:rPr>
          <w:rFonts w:ascii="Public Sans" w:cs="Public Sans" w:eastAsia="Public Sans" w:hAnsi="Public Sans"/>
          <w:color w:val="000000"/>
          <w:sz w:val="20"/>
          <w:szCs w:val="20"/>
        </w:rPr>
        <w:t xml:space="preserve"> (2020) — Focus first: a new front-end approach — Best Presentation award</w:t>
      </w:r>
    </w:p>
    <w:p>
      <w:pPr>
        <w:pStyle w:val="Heading2"/>
        <w:pBdr>
          <w:bottom w:val="single" w:color="999999" w:sz="6" w:space="2"/>
        </w:pBdr>
        <w:spacing w:after="8" w:before="32"/>
      </w:pPr>
      <w:r>
        <w:rPr>
          <w:rFonts w:ascii="Atkinson Hyperlegible Next" w:cs="Atkinson Hyperlegible Next" w:eastAsia="Atkinson Hyperlegible Next" w:hAnsi="Atkinson Hyperlegible Next"/>
          <w:b/>
          <w:bCs/>
          <w:color w:val="2A2922"/>
          <w:spacing w:val="24"/>
          <w:sz w:val="17"/>
          <w:szCs w:val="17"/>
        </w:rPr>
        <w:t xml:space="preserve">EDUCATION</w:t>
      </w:r>
    </w:p>
    <w:p>
      <w:pPr>
        <w:pStyle w:val="ListParagraph"/>
        <w:numPr>
          <w:ilvl w:val="0"/>
          <w:numId w:val="2"/>
        </w:numPr>
        <w:spacing w:after="6"/>
      </w:pPr>
      <w:r>
        <w:rPr>
          <w:rFonts w:ascii="Public Sans" w:cs="Public Sans" w:eastAsia="Public Sans" w:hAnsi="Public Sans"/>
          <w:b/>
          <w:bCs/>
          <w:color w:val="000000"/>
          <w:sz w:val="20"/>
          <w:szCs w:val="20"/>
        </w:rPr>
        <w:t xml:space="preserve">Electrical Design</w:t>
      </w:r>
      <w:r>
        <w:rPr>
          <w:rFonts w:ascii="Public Sans" w:cs="Public Sans" w:eastAsia="Public Sans" w:hAnsi="Public Sans"/>
          <w:color w:val="000000"/>
          <w:sz w:val="20"/>
          <w:szCs w:val="20"/>
        </w:rPr>
        <w:t xml:space="preserve"> — State Center of Technology Ferreira Viana, Rio de Janeiro</w:t>
      </w:r>
    </w:p>
    <w:sectPr>
      <w:pgSz w:w="11906" w:h="16838" w:orient="portrait"/>
      <w:pgMar w:top="794" w:right="794" w:bottom="794" w:left="79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283" w:hanging="198"/>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Public Sans" w:cs="Public Sans" w:eastAsia="Public Sans" w:hAnsi="Public Sans"/>
        <w:color w:val="000000"/>
        <w:sz w:val="20"/>
        <w:szCs w:val="20"/>
        <w:lang w:val="en-US"/>
      </w:rPr>
    </w:rPrDefault>
    <w:pPrDefault>
      <w:pPr>
        <w:spacing w:line="276"/>
      </w:pPr>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rPr>
      <w:rFonts w:ascii="Atkinson Hyperlegible Next" w:cs="Atkinson Hyperlegible Next" w:eastAsia="Atkinson Hyperlegible Next" w:hAnsi="Atkinson Hyperlegible Next"/>
      <w:b/>
      <w:bCs/>
      <w:color w:val="2A2922"/>
      <w:sz w:val="48"/>
      <w:szCs w:val="48"/>
    </w:rPr>
  </w:style>
  <w:style w:type="paragraph" w:styleId="Heading2">
    <w:name w:val="Heading 2"/>
    <w:basedOn w:val="Normal"/>
    <w:next w:val="Normal"/>
    <w:qFormat/>
    <w:rPr>
      <w:rFonts w:ascii="Atkinson Hyperlegible Next" w:cs="Atkinson Hyperlegible Next" w:eastAsia="Atkinson Hyperlegible Next" w:hAnsi="Atkinson Hyperlegible Next"/>
      <w:b/>
      <w:bCs/>
      <w:color w:val="2A2922"/>
      <w:sz w:val="17"/>
      <w:szCs w:val="17"/>
    </w:rPr>
  </w:style>
  <w:style w:type="paragraph" w:styleId="Heading3">
    <w:name w:val="Heading 3"/>
    <w:basedOn w:val="Normal"/>
    <w:next w:val="Normal"/>
    <w:qFormat/>
    <w:rPr>
      <w:rFonts w:ascii="Atkinson Hyperlegible Next" w:cs="Atkinson Hyperlegible Next" w:eastAsia="Atkinson Hyperlegible Next" w:hAnsi="Atkinson Hyperlegible Next"/>
      <w:b/>
      <w:bCs/>
      <w:color w:val="000000"/>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bc0npwwohsbix6tn3budp" Type="http://schemas.openxmlformats.org/officeDocument/2006/relationships/hyperlink" Target="mailto:mpaiva@gmail.com" TargetMode="External"/><Relationship Id="rIdnhu7edrjwozfyghksdato" Type="http://schemas.openxmlformats.org/officeDocument/2006/relationships/hyperlink" Target="https://github.com/mpaiva" TargetMode="External"/><Relationship Id="rIdyzv-djvo7j_gkpxh3po2r" Type="http://schemas.openxmlformats.org/officeDocument/2006/relationships/hyperlink" Target="https://www.linkedin.com/in/mtpaiva/" TargetMode="External"/><Relationship Id="rIdkaipovqean_yan51z_u0g" Type="http://schemas.openxmlformats.org/officeDocument/2006/relationships/hyperlink" Target="https://mpaiva.com/work/hcm-platform" TargetMode="External"/><Relationship Id="rId7q5ofs-psfgeyoxbstnad" Type="http://schemas.openxmlformats.org/officeDocument/2006/relationships/hyperlink" Target="https://mpaiva.com/work/ccds" TargetMode="External"/><Relationship Id="rIdfy8upjxcs7pxgwzdkezqa" Type="http://schemas.openxmlformats.org/officeDocument/2006/relationships/hyperlink" Target="https://mpaiva.com/work/docuseal-accessibility" TargetMode="External"/><Relationship Id="rIdqoyppem7slnc6kvly5m0l" Type="http://schemas.openxmlformats.org/officeDocument/2006/relationships/hyperlink" Target="https://mpaiva.com/work/idea-data-reporting" TargetMode="External"/><Relationship Id="rIdisp3mwjimxqzgojo2voqm" Type="http://schemas.openxmlformats.org/officeDocument/2006/relationships/hyperlink" Target="https://mpaiva.com/work/ukg-recruiting" TargetMode="External"/><Relationship Id="rIdglywrztnpebu6mq6qsfy1" Type="http://schemas.openxmlformats.org/officeDocument/2006/relationships/hyperlink" Target="https://mpaiva.com/work/great-place-to-work-hub" TargetMode="External"/><Relationship Id="rIdqbqqipcy6_viq2eskb91q" Type="http://schemas.openxmlformats.org/officeDocument/2006/relationships/hyperlink" Target="https://www.figma.com/community/plugin/1373362852131056921/wcag-plugin" TargetMode="External"/><Relationship Id="rIdj_fr4ywtgpcrj-48vq-tu" Type="http://schemas.openxmlformats.org/officeDocument/2006/relationships/hyperlink" Target="https://nolatin.com" TargetMode="External"/><Relationship Id="rIdj7t_vv4ifvesibmkslr3u" Type="http://schemas.openxmlformats.org/officeDocument/2006/relationships/hyperlink" Target="https://github.com/mpaiva/a11y-tips-statusline" TargetMode="External"/><Relationship Id="rId8igvqrsu7m5ppmjfg7uou" Type="http://schemas.openxmlformats.org/officeDocument/2006/relationships/hyperlink" Target="https://github.com/mpaiva/wcag-mcp-server" TargetMode="External"/><Relationship Id="rIdxa_gfl5k84eikimqgnsma" Type="http://schemas.openxmlformats.org/officeDocument/2006/relationships/hyperlink" Target="https://github.com/bastani-inc/atomic" TargetMode="External"/><Relationship Id="rIdshign8wrchwgucr6nm79y" Type="http://schemas.openxmlformats.org/officeDocument/2006/relationships/hyperlink" Target="https://github.com/mpaiva/docuseal-a11y" TargetMode="External"/><Relationship Id="rIdeh2kproyaqix_pb_8cajs" Type="http://schemas.openxmlformats.org/officeDocument/2006/relationships/hyperlink" Target="https://github.com/mpaiva/atomic-cockpit" TargetMode="External"/><Relationship Id="rIdiwpuhyzkwauv68lodrhcz" Type="http://schemas.openxmlformats.org/officeDocument/2006/relationships/hyperlink" Target="https://github.com/mpaiva/jupiter" TargetMode="External"/><Relationship Id="rId2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Marcelo Paiva — Resume</dc:title>
  <dc:subject>Design engineer. Design systems, accessibility, and the code that ships them.</dc:subject>
  <dc:creator>Marcelo Paiva</dc:creator>
  <dc:description>I design experiences and ship accessible code that runs them. Two decades of that has been spent on enterprise software, several years of it on HR and talent — the systems that decide who gets hired, onboarded and promoted — where the hard part is keeping something powerful approachable. I build design systems other engineers want to use, and that accessibility is something the system enforces rather than something a checklist catches at the end.</dc:description>
  <cp:lastModifiedBy>Un-named</cp:lastModifiedBy>
  <cp:revision>1</cp:revision>
  <dcterms:created xsi:type="dcterms:W3CDTF">2026-09-27T20:53:52.697Z</dcterms:created>
  <dcterms:modified xsi:type="dcterms:W3CDTF">2026-09-27T20:53:52.697Z</dcterms:modified>
</cp:coreProperties>
</file>

<file path=docProps/custom.xml><?xml version="1.0" encoding="utf-8"?>
<Properties xmlns="http://schemas.openxmlformats.org/officeDocument/2006/custom-properties" xmlns:vt="http://schemas.openxmlformats.org/officeDocument/2006/docPropsVTypes"/>
</file>